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20" w:rsidRDefault="005748EB">
      <w:pPr>
        <w:spacing w:after="288" w:line="259" w:lineRule="auto"/>
        <w:ind w:left="10" w:right="34" w:hanging="10"/>
        <w:jc w:val="center"/>
      </w:pPr>
      <w:bookmarkStart w:id="0" w:name="_GoBack"/>
      <w:bookmarkEnd w:id="0"/>
      <w:r>
        <w:rPr>
          <w:sz w:val="28"/>
        </w:rPr>
        <w:t>PREFEITURA MUNICIPAL DE ARACAJU</w:t>
      </w:r>
    </w:p>
    <w:p w:rsidR="00285020" w:rsidRDefault="005748EB">
      <w:pPr>
        <w:spacing w:after="0" w:line="259" w:lineRule="auto"/>
        <w:ind w:left="10" w:right="91" w:hanging="10"/>
        <w:jc w:val="center"/>
      </w:pPr>
      <w:r>
        <w:rPr>
          <w:sz w:val="36"/>
        </w:rPr>
        <w:t xml:space="preserve">DECRETO N. </w:t>
      </w:r>
      <w:r>
        <w:rPr>
          <w:sz w:val="36"/>
          <w:vertAlign w:val="superscript"/>
        </w:rPr>
        <w:t xml:space="preserve">0 </w:t>
      </w:r>
      <w:r>
        <w:rPr>
          <w:sz w:val="36"/>
        </w:rPr>
        <w:t>n.182</w:t>
      </w:r>
    </w:p>
    <w:p w:rsidR="00285020" w:rsidRDefault="005748EB">
      <w:pPr>
        <w:pStyle w:val="Heading1"/>
        <w:tabs>
          <w:tab w:val="center" w:pos="2532"/>
          <w:tab w:val="center" w:pos="4930"/>
        </w:tabs>
        <w:spacing w:after="184"/>
        <w:ind w:left="0" w:right="0" w:firstLine="0"/>
        <w:jc w:val="left"/>
      </w:pPr>
      <w:r>
        <w:tab/>
        <w:t xml:space="preserve">DE </w:t>
      </w:r>
      <w:r>
        <w:tab/>
        <w:t xml:space="preserve">DE </w:t>
      </w:r>
      <w:r>
        <w:rPr>
          <w:noProof/>
        </w:rPr>
        <w:drawing>
          <wp:inline distT="0" distB="0" distL="0" distR="0">
            <wp:extent cx="697992" cy="131101"/>
            <wp:effectExtent l="0" t="0" r="0" b="0"/>
            <wp:docPr id="1769" name="Picture 1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" name="Picture 17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 2015</w:t>
      </w:r>
    </w:p>
    <w:p w:rsidR="00285020" w:rsidRDefault="005748EB">
      <w:pPr>
        <w:ind w:left="3998" w:right="28" w:firstLine="19"/>
      </w:pPr>
      <w:r>
        <w:t xml:space="preserve">Dispõe sobre critérios e valores para concessão de diárias, no âmbito da Administração Pública Municipal do Poder Executivo, e dá providências correlatas. </w:t>
      </w:r>
      <w:r>
        <w:rPr>
          <w:noProof/>
        </w:rPr>
        <w:drawing>
          <wp:inline distT="0" distB="0" distL="0" distR="0">
            <wp:extent cx="6096" cy="9147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20" w:rsidRDefault="005748EB">
      <w:pPr>
        <w:spacing w:after="265"/>
        <w:ind w:left="43" w:righ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3465576</wp:posOffset>
            </wp:positionH>
            <wp:positionV relativeFrom="page">
              <wp:posOffset>503063</wp:posOffset>
            </wp:positionV>
            <wp:extent cx="670560" cy="655507"/>
            <wp:effectExtent l="0" t="0" r="0" b="0"/>
            <wp:wrapTopAndBottom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5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3847673</wp:posOffset>
            </wp:positionV>
            <wp:extent cx="6096" cy="6098"/>
            <wp:effectExtent l="0" t="0" r="0" b="0"/>
            <wp:wrapSquare wrapText="bothSides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3853771</wp:posOffset>
            </wp:positionV>
            <wp:extent cx="3048" cy="6098"/>
            <wp:effectExtent l="0" t="0" r="0" b="0"/>
            <wp:wrapSquare wrapText="bothSides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PREFEITO DO MUNICÍPIO DE ARACAJU, no uso das atribuições que lhe são conferidas pelo art. 54, inciso l, alínea "a", combinado com o art. 120, incisos II, IV e VII, da Lei Orgânica Municipal; na conformidade de disposições da Lei n. </w:t>
      </w:r>
      <w:r>
        <w:rPr>
          <w:vertAlign w:val="superscript"/>
        </w:rPr>
        <w:t xml:space="preserve">0 </w:t>
      </w:r>
      <w:r>
        <w:t>1.464, de 30 de deze</w:t>
      </w:r>
      <w:r>
        <w:t xml:space="preserve">mbro de 1988 (Estatuto dos Funcionários Públicos Civis do Município de Aracaju), especialmente seu art. 241; em vista da Resolução n. </w:t>
      </w:r>
      <w:r>
        <w:rPr>
          <w:vertAlign w:val="superscript"/>
        </w:rPr>
        <w:t xml:space="preserve">0 </w:t>
      </w:r>
      <w:r>
        <w:t xml:space="preserve">282, de 08 de agosto de 2013, do Tribunal de Contas do Estado de Sergipe, e do Acórdão n. </w:t>
      </w:r>
      <w:r>
        <w:rPr>
          <w:vertAlign w:val="superscript"/>
        </w:rPr>
        <w:t xml:space="preserve">0 </w:t>
      </w:r>
      <w:r>
        <w:t>2766 - Pleno (Processo TC 00</w:t>
      </w:r>
      <w:r>
        <w:t>1117/2010); e considerando a necessidade de promover a readequação dos critérios para concessão de diárias, no âmbito da Administração Pública Municipal do Poder Executivo,</w:t>
      </w:r>
    </w:p>
    <w:p w:rsidR="00285020" w:rsidRDefault="005748EB">
      <w:pPr>
        <w:spacing w:after="3" w:line="259" w:lineRule="auto"/>
        <w:ind w:left="1459" w:right="0" w:firstLine="0"/>
        <w:jc w:val="left"/>
      </w:pPr>
      <w:r>
        <w:rPr>
          <w:sz w:val="50"/>
        </w:rPr>
        <w:t>DECRE TA .</w:t>
      </w:r>
      <w:r>
        <w:rPr>
          <w:noProof/>
        </w:rPr>
        <w:drawing>
          <wp:inline distT="0" distB="0" distL="0" distR="0">
            <wp:extent cx="6096" cy="21342"/>
            <wp:effectExtent l="0" t="0" r="0" b="0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20" w:rsidRDefault="005748EB">
      <w:pPr>
        <w:ind w:left="43" w:right="28"/>
      </w:pPr>
      <w:r>
        <w:t xml:space="preserve">Art. 1 </w:t>
      </w:r>
      <w:r>
        <w:rPr>
          <w:vertAlign w:val="superscript"/>
        </w:rPr>
        <w:t xml:space="preserve">0 </w:t>
      </w:r>
      <w:r>
        <w:t xml:space="preserve">. Os critérios e valores para concessão de diárias, no âmbito </w:t>
      </w:r>
      <w:r>
        <w:t>da Administração Pública Municipal do Poder Executivo, são os dispostos nos termos deste Decreto.</w:t>
      </w:r>
    </w:p>
    <w:p w:rsidR="00285020" w:rsidRDefault="005748EB">
      <w:pPr>
        <w:spacing w:after="253"/>
        <w:ind w:left="43" w:right="28"/>
      </w:pPr>
      <w:r>
        <w:t>Art. 2</w:t>
      </w:r>
      <w:r>
        <w:rPr>
          <w:vertAlign w:val="superscript"/>
        </w:rPr>
        <w:t xml:space="preserve">0 </w:t>
      </w:r>
      <w:r>
        <w:t>. Aos Agentes Políticos e aos Servidores Públicos Municipais, quando em viagem oficial, dentro do território estadual ou fora dele, com fins de repres</w:t>
      </w:r>
      <w:r>
        <w:t>entação do Poder Executivo Municipal, ou em objeto do serviço, além dos meios de transporte adequados, é assegurada diária nos valores estabelecidos no Anexo Unico deste Decreto, a fim de custear despesas com alimentação, hospedagem e permanência na locali</w:t>
      </w:r>
      <w:r>
        <w:t>dade para onde se deslocarem,</w:t>
      </w:r>
    </w:p>
    <w:p w:rsidR="00285020" w:rsidRDefault="005748EB">
      <w:pPr>
        <w:ind w:left="43" w:right="28"/>
      </w:pPr>
      <w:r>
        <w:t xml:space="preserve">S 1 </w:t>
      </w:r>
      <w:r>
        <w:rPr>
          <w:vertAlign w:val="superscript"/>
        </w:rPr>
        <w:t xml:space="preserve">0 </w:t>
      </w:r>
      <w:r>
        <w:t>. A diária deve ser concedida em igual valor, tomando-se por base o cargo de maior hierarquia, quando dois ou mais Agentes Políticos elou SeMdores Públicos Municipais se deslocarem de sua sede, conjuntamente para o des e</w:t>
      </w:r>
      <w:r>
        <w:t>nho de um mesmo trabalho ou missão.</w:t>
      </w:r>
    </w:p>
    <w:p w:rsidR="00285020" w:rsidRDefault="005748EB">
      <w:pPr>
        <w:spacing w:after="334" w:line="259" w:lineRule="auto"/>
        <w:ind w:left="10" w:right="72" w:hanging="10"/>
        <w:jc w:val="center"/>
      </w:pPr>
      <w:r>
        <w:rPr>
          <w:sz w:val="28"/>
        </w:rPr>
        <w:lastRenderedPageBreak/>
        <w:t>PREFEITURA MUNICIPAL DE ARACAJU</w:t>
      </w:r>
    </w:p>
    <w:p w:rsidR="00285020" w:rsidRDefault="005748EB">
      <w:pPr>
        <w:spacing w:after="0" w:line="259" w:lineRule="auto"/>
        <w:ind w:left="2952" w:right="0" w:hanging="10"/>
        <w:jc w:val="left"/>
      </w:pPr>
      <w:r>
        <w:rPr>
          <w:sz w:val="36"/>
        </w:rPr>
        <w:t xml:space="preserve">DECRETO N. </w:t>
      </w:r>
      <w:r>
        <w:rPr>
          <w:sz w:val="36"/>
          <w:vertAlign w:val="superscript"/>
        </w:rPr>
        <w:t>0</w:t>
      </w:r>
    </w:p>
    <w:p w:rsidR="00285020" w:rsidRDefault="005748EB">
      <w:pPr>
        <w:pStyle w:val="Heading2"/>
        <w:spacing w:after="155"/>
        <w:ind w:right="58"/>
        <w:jc w:val="center"/>
      </w:pPr>
      <w:r>
        <w:rPr>
          <w:sz w:val="34"/>
          <w:u w:val="none"/>
        </w:rPr>
        <w:t xml:space="preserve">DE Ág DE </w:t>
      </w:r>
      <w:r>
        <w:rPr>
          <w:noProof/>
        </w:rPr>
        <w:drawing>
          <wp:inline distT="0" distB="0" distL="0" distR="0">
            <wp:extent cx="676656" cy="121955"/>
            <wp:effectExtent l="0" t="0" r="0" b="0"/>
            <wp:docPr id="3853" name="Picture 3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" name="Picture 38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  <w:u w:val="none"/>
        </w:rPr>
        <w:t xml:space="preserve"> DE 2015</w:t>
      </w:r>
    </w:p>
    <w:p w:rsidR="00285020" w:rsidRDefault="005748EB">
      <w:pPr>
        <w:spacing w:after="236"/>
        <w:ind w:left="43" w:right="28"/>
      </w:pPr>
      <w:r>
        <w:t>5 2</w:t>
      </w:r>
      <w:r>
        <w:rPr>
          <w:vertAlign w:val="superscript"/>
        </w:rPr>
        <w:t xml:space="preserve">0 </w:t>
      </w:r>
      <w:r>
        <w:t>. A concessão de diária, inclusive a que se refere ao seu próprio afastamento, deve ser autorizada pelo dirigente do órgão ou entidade a quem estiver subordinado o servidor, ou a quem for delegada tal competência, observadas as normas regulamentares existe</w:t>
      </w:r>
      <w:r>
        <w:t>ntes a respeito.</w:t>
      </w:r>
    </w:p>
    <w:p w:rsidR="00285020" w:rsidRDefault="005748EB">
      <w:pPr>
        <w:spacing w:after="340"/>
        <w:ind w:left="43" w:right="28"/>
      </w:pPr>
      <w:r>
        <w:t xml:space="preserve">S 3 </w:t>
      </w:r>
      <w:r>
        <w:rPr>
          <w:vertAlign w:val="superscript"/>
        </w:rPr>
        <w:t xml:space="preserve">0 </w:t>
      </w:r>
      <w:r>
        <w:t>. Quando o afastamento se estender por tempo superior ao previsto, o servidor deve fazer jus, ainda, às diárias correspondentes ao período prorrogado, desde que autorizada a sua prorrogação.</w:t>
      </w:r>
    </w:p>
    <w:p w:rsidR="00285020" w:rsidRDefault="005748EB">
      <w:pPr>
        <w:ind w:left="43" w:right="28"/>
      </w:pPr>
      <w:r>
        <w:t>S 4</w:t>
      </w:r>
      <w:r>
        <w:rPr>
          <w:vertAlign w:val="superscript"/>
        </w:rPr>
        <w:t xml:space="preserve">0 </w:t>
      </w:r>
      <w:r>
        <w:t xml:space="preserve">. São de inteira responsabilidade do </w:t>
      </w:r>
      <w:r>
        <w:t>servidor eventuais alterações de percurso ou de datas e horários de deslocamento, quando não autorizados ou determinados pela administração.</w:t>
      </w:r>
    </w:p>
    <w:p w:rsidR="00285020" w:rsidRDefault="005748EB">
      <w:pPr>
        <w:ind w:left="43" w:right="2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3459480</wp:posOffset>
            </wp:positionH>
            <wp:positionV relativeFrom="page">
              <wp:posOffset>661605</wp:posOffset>
            </wp:positionV>
            <wp:extent cx="664464" cy="652458"/>
            <wp:effectExtent l="0" t="0" r="0" b="0"/>
            <wp:wrapTopAndBottom/>
            <wp:docPr id="3854" name="Picture 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" name="Picture 38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5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6998209</wp:posOffset>
            </wp:positionH>
            <wp:positionV relativeFrom="page">
              <wp:posOffset>9710649</wp:posOffset>
            </wp:positionV>
            <wp:extent cx="91439" cy="146346"/>
            <wp:effectExtent l="0" t="0" r="0" b="0"/>
            <wp:wrapSquare wrapText="bothSides"/>
            <wp:docPr id="3765" name="Picture 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" name="Picture 37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6952488</wp:posOffset>
            </wp:positionH>
            <wp:positionV relativeFrom="page">
              <wp:posOffset>9860043</wp:posOffset>
            </wp:positionV>
            <wp:extent cx="45720" cy="48782"/>
            <wp:effectExtent l="0" t="0" r="0" b="0"/>
            <wp:wrapSquare wrapText="bothSides"/>
            <wp:docPr id="3766" name="Picture 3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" name="Picture 37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Art. 3 </w:t>
      </w:r>
      <w:r>
        <w:rPr>
          <w:vertAlign w:val="superscript"/>
        </w:rPr>
        <w:t xml:space="preserve">0 </w:t>
      </w:r>
      <w:r>
        <w:t xml:space="preserve">. Para fins de comprovação da estada do Agente Político ou do Servidor Público Municipal no local para </w:t>
      </w:r>
      <w:r>
        <w:t>onde se deslocou, devem ser exigidos, além do certificado de participação em curso, seminário, congresso, ou outros eventos, quando for o caso, os bilhetes de passagem aérea ou terrestre, ou, ainda, qualquer outro documento comprobatório do deslocamento.</w:t>
      </w:r>
    </w:p>
    <w:p w:rsidR="00285020" w:rsidRDefault="005748EB">
      <w:pPr>
        <w:ind w:left="43" w:right="28"/>
      </w:pPr>
      <w:r>
        <w:t>A</w:t>
      </w:r>
      <w:r>
        <w:t>rt. 4</w:t>
      </w:r>
      <w:r>
        <w:rPr>
          <w:vertAlign w:val="superscript"/>
        </w:rPr>
        <w:t xml:space="preserve">0 </w:t>
      </w:r>
      <w:r>
        <w:t>. O valor pago a título de diária deve ser creditado na conta corrente do Agente Político ou do Servidor Público Municipal antes do deslocamento a ser realizado, ressalvadas as situações de emergência, devidamente caracterizadas.</w:t>
      </w:r>
    </w:p>
    <w:p w:rsidR="00285020" w:rsidRDefault="005748EB">
      <w:pPr>
        <w:spacing w:after="252"/>
        <w:ind w:left="14" w:right="0" w:firstLine="1426"/>
        <w:jc w:val="left"/>
      </w:pPr>
      <w:r>
        <w:t>Parágrafo único. As</w:t>
      </w:r>
      <w:r>
        <w:t xml:space="preserve"> propostas de concessão das diárias, quando o afastamento iniciar-se nas sextas-feiras, bem como os que incluam sábados, domingos, ou feriados, devem ser expressamente justificadas, configurando, a autorização do pagamento pelo ordenador de despesas, a ace</w:t>
      </w:r>
      <w:r>
        <w:t>itação da justificativa.</w:t>
      </w:r>
    </w:p>
    <w:p w:rsidR="00285020" w:rsidRDefault="005748EB">
      <w:pPr>
        <w:spacing w:after="17" w:line="259" w:lineRule="auto"/>
        <w:ind w:right="53" w:firstLine="0"/>
        <w:jc w:val="right"/>
      </w:pPr>
      <w:r>
        <w:t xml:space="preserve">Art. 5 </w:t>
      </w:r>
      <w:r>
        <w:rPr>
          <w:vertAlign w:val="superscript"/>
        </w:rPr>
        <w:t xml:space="preserve">0 </w:t>
      </w:r>
      <w:r>
        <w:t>. A Secretaria Municipal do Plapamento,</w:t>
      </w:r>
    </w:p>
    <w:p w:rsidR="00285020" w:rsidRDefault="005748EB">
      <w:pPr>
        <w:spacing w:after="0"/>
        <w:ind w:left="34" w:right="0" w:hanging="5"/>
        <w:jc w:val="left"/>
      </w:pPr>
      <w:r>
        <w:rPr>
          <w:sz w:val="30"/>
        </w:rPr>
        <w:t>Orçamento e Gestão - SEPLOG pode editar normas comp ementares para a execução do disposto neste Decreto.</w:t>
      </w:r>
    </w:p>
    <w:p w:rsidR="00285020" w:rsidRDefault="005748EB">
      <w:pPr>
        <w:spacing w:after="261" w:line="259" w:lineRule="auto"/>
        <w:ind w:left="10" w:right="19" w:hanging="10"/>
        <w:jc w:val="center"/>
      </w:pPr>
      <w:r>
        <w:rPr>
          <w:sz w:val="28"/>
        </w:rPr>
        <w:t>PREFEITURA MUNICIPAL DE ARACAJU</w:t>
      </w:r>
    </w:p>
    <w:p w:rsidR="00285020" w:rsidRDefault="005748EB">
      <w:pPr>
        <w:spacing w:after="0" w:line="259" w:lineRule="auto"/>
        <w:ind w:left="2952" w:right="0" w:hanging="1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2511552</wp:posOffset>
            </wp:positionH>
            <wp:positionV relativeFrom="paragraph">
              <wp:posOffset>-70123</wp:posOffset>
            </wp:positionV>
            <wp:extent cx="1155192" cy="417695"/>
            <wp:effectExtent l="0" t="0" r="0" b="0"/>
            <wp:wrapSquare wrapText="bothSides"/>
            <wp:docPr id="13536" name="Picture 1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" name="Picture 135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DECRETO</w:t>
      </w:r>
    </w:p>
    <w:p w:rsidR="00285020" w:rsidRDefault="005748EB">
      <w:pPr>
        <w:pStyle w:val="Heading1"/>
        <w:tabs>
          <w:tab w:val="center" w:pos="3043"/>
          <w:tab w:val="center" w:pos="5940"/>
        </w:tabs>
        <w:ind w:left="0" w:right="0" w:firstLine="0"/>
        <w:jc w:val="left"/>
      </w:pPr>
      <w:r>
        <w:tab/>
        <w:t xml:space="preserve">DE £ DE </w:t>
      </w:r>
      <w:r>
        <w:tab/>
        <w:t>DE 2015</w:t>
      </w:r>
    </w:p>
    <w:p w:rsidR="00285020" w:rsidRDefault="005748EB">
      <w:pPr>
        <w:spacing w:after="267"/>
        <w:ind w:left="43" w:right="28"/>
      </w:pPr>
      <w:r>
        <w:t xml:space="preserve">Art. 6 </w:t>
      </w:r>
      <w:r>
        <w:rPr>
          <w:vertAlign w:val="superscript"/>
        </w:rPr>
        <w:t xml:space="preserve">0 </w:t>
      </w:r>
      <w:r>
        <w:t xml:space="preserve">. Este Decreto entra em vigor na data de sua publicação, produzindo efeitos a partir de 1 </w:t>
      </w:r>
      <w:r>
        <w:rPr>
          <w:vertAlign w:val="superscript"/>
        </w:rPr>
        <w:t xml:space="preserve">0 </w:t>
      </w:r>
      <w:r>
        <w:t>de agosto de 2015.</w:t>
      </w:r>
    </w:p>
    <w:p w:rsidR="00285020" w:rsidRDefault="005748EB">
      <w:pPr>
        <w:spacing w:after="185"/>
        <w:ind w:left="43" w:right="28"/>
      </w:pPr>
      <w:r>
        <w:t>Art. 7</w:t>
      </w:r>
      <w:r>
        <w:rPr>
          <w:vertAlign w:val="superscript"/>
        </w:rPr>
        <w:t xml:space="preserve">0 </w:t>
      </w:r>
      <w:r>
        <w:t xml:space="preserve">. Fica revogado o Decreto n. </w:t>
      </w:r>
      <w:r>
        <w:rPr>
          <w:vertAlign w:val="superscript"/>
        </w:rPr>
        <w:t xml:space="preserve">0 </w:t>
      </w:r>
      <w:r>
        <w:t>4.816, de 14 de maio de 2014, e demais disposições em contrário.</w:t>
      </w:r>
    </w:p>
    <w:p w:rsidR="00285020" w:rsidRDefault="005748EB">
      <w:pPr>
        <w:spacing w:after="615"/>
        <w:ind w:left="43" w:right="28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3474720</wp:posOffset>
            </wp:positionH>
            <wp:positionV relativeFrom="page">
              <wp:posOffset>664654</wp:posOffset>
            </wp:positionV>
            <wp:extent cx="664464" cy="646361"/>
            <wp:effectExtent l="0" t="0" r="0" b="0"/>
            <wp:wrapTopAndBottom/>
            <wp:docPr id="5246" name="Picture 5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" name="Picture 52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46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Aracaju, £ de </w:t>
      </w:r>
      <w:r>
        <w:rPr>
          <w:noProof/>
        </w:rPr>
        <w:drawing>
          <wp:inline distT="0" distB="0" distL="0" distR="0">
            <wp:extent cx="670560" cy="286594"/>
            <wp:effectExtent l="0" t="0" r="0" b="0"/>
            <wp:docPr id="5247" name="Picture 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8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 2015; 194</w:t>
      </w:r>
      <w:r>
        <w:rPr>
          <w:vertAlign w:val="superscript"/>
        </w:rPr>
        <w:t xml:space="preserve">0 </w:t>
      </w:r>
      <w:r>
        <w:t>da Independência, 127</w:t>
      </w:r>
      <w:r>
        <w:rPr>
          <w:vertAlign w:val="superscript"/>
        </w:rPr>
        <w:t xml:space="preserve">0 </w:t>
      </w:r>
      <w:r>
        <w:t>da República e 160</w:t>
      </w:r>
      <w:r>
        <w:rPr>
          <w:vertAlign w:val="superscript"/>
        </w:rPr>
        <w:t xml:space="preserve">0 </w:t>
      </w:r>
      <w:r>
        <w:t>da Emancipação Política do Município.</w:t>
      </w:r>
    </w:p>
    <w:p w:rsidR="00285020" w:rsidRDefault="005748EB">
      <w:pPr>
        <w:spacing w:after="0" w:line="265" w:lineRule="auto"/>
        <w:ind w:left="1215" w:right="0" w:hanging="10"/>
        <w:jc w:val="center"/>
      </w:pPr>
      <w:r>
        <w:rPr>
          <w:sz w:val="28"/>
        </w:rPr>
        <w:t>£ FILHO</w:t>
      </w:r>
    </w:p>
    <w:p w:rsidR="00285020" w:rsidRDefault="005748EB">
      <w:pPr>
        <w:spacing w:after="670" w:line="265" w:lineRule="auto"/>
        <w:ind w:left="1215" w:right="1195" w:hanging="10"/>
        <w:jc w:val="center"/>
      </w:pPr>
      <w:r>
        <w:rPr>
          <w:sz w:val="28"/>
        </w:rPr>
        <w:t>PREFEITO ARACAJU</w:t>
      </w:r>
    </w:p>
    <w:p w:rsidR="00285020" w:rsidRDefault="005748EB">
      <w:pPr>
        <w:spacing w:after="0" w:line="259" w:lineRule="auto"/>
        <w:ind w:left="5" w:right="0" w:firstLine="0"/>
        <w:jc w:val="center"/>
      </w:pPr>
      <w:r>
        <w:rPr>
          <w:sz w:val="34"/>
        </w:rPr>
        <w:t>Secretário Municipal do Idãfarn nto, Or amento e Gestão</w:t>
      </w:r>
    </w:p>
    <w:p w:rsidR="00285020" w:rsidRDefault="005748EB">
      <w:pPr>
        <w:spacing w:after="60" w:line="259" w:lineRule="auto"/>
        <w:ind w:left="691" w:right="0" w:firstLine="0"/>
        <w:jc w:val="center"/>
      </w:pPr>
      <w:r>
        <w:rPr>
          <w:sz w:val="36"/>
        </w:rPr>
        <w:t>(10 "</w:t>
      </w:r>
    </w:p>
    <w:p w:rsidR="00285020" w:rsidRDefault="005748EB">
      <w:pPr>
        <w:spacing w:after="0" w:line="259" w:lineRule="auto"/>
        <w:ind w:left="10" w:right="5" w:hanging="10"/>
        <w:jc w:val="center"/>
      </w:pPr>
      <w:r>
        <w:t>Marlene Ives Calumby</w:t>
      </w:r>
    </w:p>
    <w:p w:rsidR="00285020" w:rsidRDefault="005748EB">
      <w:pPr>
        <w:spacing w:after="258" w:line="259" w:lineRule="auto"/>
        <w:ind w:left="10" w:right="5" w:hanging="10"/>
        <w:jc w:val="center"/>
      </w:pPr>
      <w:r>
        <w:t xml:space="preserve">Secretária M </w:t>
      </w:r>
      <w:r>
        <w:t>nicipal de Governo</w:t>
      </w:r>
    </w:p>
    <w:p w:rsidR="00285020" w:rsidRDefault="005748EB">
      <w:pPr>
        <w:spacing w:after="0" w:line="272" w:lineRule="auto"/>
        <w:ind w:left="91" w:right="0" w:firstLine="5"/>
        <w:jc w:val="left"/>
      </w:pPr>
      <w:r>
        <w:rPr>
          <w:sz w:val="24"/>
        </w:rPr>
        <w:t>Reproduzido por ter sido publicado co incorrecão no Diário Oficial do Município do dia 21 de agosto de 2015.</w:t>
      </w:r>
    </w:p>
    <w:p w:rsidR="00285020" w:rsidRDefault="005748EB">
      <w:pPr>
        <w:spacing w:after="302" w:line="259" w:lineRule="auto"/>
        <w:ind w:left="10" w:right="120" w:hanging="10"/>
        <w:jc w:val="center"/>
      </w:pPr>
      <w:r>
        <w:rPr>
          <w:sz w:val="28"/>
        </w:rPr>
        <w:t>PREFEITURA MUNICIPAL DE ARACAJU</w:t>
      </w:r>
    </w:p>
    <w:p w:rsidR="00285020" w:rsidRDefault="005748EB">
      <w:pPr>
        <w:spacing w:after="0" w:line="259" w:lineRule="auto"/>
        <w:ind w:left="10" w:right="197" w:hanging="10"/>
        <w:jc w:val="center"/>
      </w:pPr>
      <w:r>
        <w:rPr>
          <w:sz w:val="42"/>
        </w:rPr>
        <w:t xml:space="preserve">DECRETO N. </w:t>
      </w:r>
      <w:r>
        <w:rPr>
          <w:sz w:val="42"/>
          <w:vertAlign w:val="superscript"/>
        </w:rPr>
        <w:t xml:space="preserve">0 </w:t>
      </w:r>
      <w:r>
        <w:rPr>
          <w:sz w:val="42"/>
        </w:rPr>
        <w:t>3rltŽ</w:t>
      </w:r>
    </w:p>
    <w:p w:rsidR="00285020" w:rsidRDefault="005748EB">
      <w:pPr>
        <w:tabs>
          <w:tab w:val="center" w:pos="2993"/>
          <w:tab w:val="center" w:pos="5892"/>
        </w:tabs>
        <w:spacing w:after="0" w:line="259" w:lineRule="auto"/>
        <w:ind w:right="0" w:firstLine="0"/>
        <w:jc w:val="left"/>
      </w:pPr>
      <w:r>
        <w:tab/>
        <w:t xml:space="preserve">DEZ DE </w:t>
      </w:r>
      <w:r>
        <w:tab/>
        <w:t>DE 2015</w:t>
      </w:r>
    </w:p>
    <w:p w:rsidR="00285020" w:rsidRDefault="005748EB">
      <w:pPr>
        <w:pStyle w:val="Heading1"/>
        <w:spacing w:after="258"/>
        <w:ind w:right="168"/>
      </w:pPr>
      <w:r>
        <w:t>ANEXO ÚNICO</w:t>
      </w:r>
    </w:p>
    <w:p w:rsidR="00285020" w:rsidRDefault="005748EB">
      <w:pPr>
        <w:pStyle w:val="Heading2"/>
        <w:jc w:val="center"/>
      </w:pPr>
      <w:r>
        <w:t>VALORES DE DIÁRIAS ADMINISTRACÃO PÚBLICA MUNICIPAL DO PODER EXECUTI</w:t>
      </w:r>
      <w:r>
        <w:t>VO</w:t>
      </w:r>
    </w:p>
    <w:tbl>
      <w:tblPr>
        <w:tblStyle w:val="TableGrid"/>
        <w:tblW w:w="9758" w:type="dxa"/>
        <w:tblInd w:w="-501" w:type="dxa"/>
        <w:tblCellMar>
          <w:top w:w="18" w:type="dxa"/>
          <w:left w:w="69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3595"/>
        <w:gridCol w:w="1834"/>
        <w:gridCol w:w="2141"/>
        <w:gridCol w:w="2189"/>
      </w:tblGrid>
      <w:tr w:rsidR="00285020">
        <w:trPr>
          <w:trHeight w:val="331"/>
        </w:trPr>
        <w:tc>
          <w:tcPr>
            <w:tcW w:w="359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85020" w:rsidRDefault="0028502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5" w:firstLine="0"/>
              <w:jc w:val="center"/>
            </w:pPr>
            <w:r>
              <w:rPr>
                <w:sz w:val="34"/>
              </w:rPr>
              <w:t>VALOR</w:t>
            </w:r>
          </w:p>
        </w:tc>
      </w:tr>
      <w:tr w:rsidR="00285020">
        <w:trPr>
          <w:trHeight w:val="3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85020" w:rsidRDefault="0028502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5020" w:rsidRDefault="005748EB">
            <w:pPr>
              <w:spacing w:after="0" w:line="259" w:lineRule="auto"/>
              <w:ind w:left="96" w:right="0" w:firstLine="0"/>
              <w:jc w:val="left"/>
            </w:pPr>
            <w:r>
              <w:t>NO ESTADO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19" w:right="0" w:firstLine="0"/>
              <w:jc w:val="center"/>
            </w:pPr>
            <w:r>
              <w:t>FORA DO ESTADO</w:t>
            </w:r>
          </w:p>
        </w:tc>
      </w:tr>
      <w:tr w:rsidR="00285020">
        <w:trPr>
          <w:trHeight w:val="33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85020" w:rsidRDefault="0028502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28502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10" w:right="0" w:firstLine="0"/>
              <w:jc w:val="center"/>
            </w:pPr>
            <w:r>
              <w:t>NO PAIS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34"/>
              </w:rPr>
              <w:t>NO EXTERIOR</w:t>
            </w:r>
          </w:p>
        </w:tc>
      </w:tr>
      <w:tr w:rsidR="00285020">
        <w:trPr>
          <w:trHeight w:val="667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Prefeito do Município /</w:t>
            </w:r>
          </w:p>
          <w:p w:rsidR="00285020" w:rsidRDefault="005748EB">
            <w:pPr>
              <w:spacing w:after="0" w:line="259" w:lineRule="auto"/>
              <w:ind w:left="5" w:right="0" w:firstLine="0"/>
              <w:jc w:val="left"/>
            </w:pPr>
            <w:r>
              <w:t>Vice-Prefeito do Município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437" w:right="0" w:firstLine="0"/>
              <w:jc w:val="left"/>
            </w:pPr>
            <w:r>
              <w:rPr>
                <w:sz w:val="30"/>
              </w:rPr>
              <w:t>R$ 150,00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R$ 700,00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14" w:firstLine="0"/>
              <w:jc w:val="right"/>
            </w:pPr>
            <w:r>
              <w:rPr>
                <w:sz w:val="30"/>
              </w:rPr>
              <w:t>US$ 415,00</w:t>
            </w:r>
          </w:p>
        </w:tc>
      </w:tr>
      <w:tr w:rsidR="00285020">
        <w:trPr>
          <w:trHeight w:val="1980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5" w:firstLine="14"/>
            </w:pPr>
            <w:r>
              <w:t>Secretário Municipal e autoridades legalmente equiparadas / Presidente e Superintendente de entidade da Administração Municipal Indireta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437" w:right="0" w:firstLine="0"/>
              <w:jc w:val="left"/>
            </w:pPr>
            <w:r>
              <w:rPr>
                <w:sz w:val="30"/>
              </w:rPr>
              <w:t>R$ 150,00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R$ 700,00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14" w:firstLine="0"/>
              <w:jc w:val="right"/>
            </w:pPr>
            <w:r>
              <w:rPr>
                <w:sz w:val="30"/>
              </w:rPr>
              <w:t>US$ 415,00</w:t>
            </w:r>
          </w:p>
        </w:tc>
      </w:tr>
      <w:tr w:rsidR="00285020">
        <w:trPr>
          <w:trHeight w:val="1316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22" w:lineRule="auto"/>
              <w:ind w:right="0" w:firstLine="5"/>
            </w:pPr>
            <w:r>
              <w:t>Vice-Presidente e Diretor de entidade da Administração Municipal</w:t>
            </w:r>
          </w:p>
          <w:p w:rsidR="00285020" w:rsidRDefault="005748EB">
            <w:pPr>
              <w:spacing w:after="0" w:line="259" w:lineRule="auto"/>
              <w:ind w:left="24" w:right="0" w:firstLine="0"/>
              <w:jc w:val="left"/>
            </w:pPr>
            <w:r>
              <w:t>Indireta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437" w:right="0" w:firstLine="0"/>
              <w:jc w:val="left"/>
            </w:pPr>
            <w:r>
              <w:rPr>
                <w:sz w:val="30"/>
              </w:rPr>
              <w:t>R$ 150,00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R$ 550,00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US$ 350,00</w:t>
            </w:r>
          </w:p>
        </w:tc>
      </w:tr>
      <w:tr w:rsidR="00285020">
        <w:trPr>
          <w:trHeight w:val="1635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10" w:firstLine="0"/>
            </w:pPr>
            <w:r>
              <w:rPr>
                <w:sz w:val="30"/>
              </w:rPr>
              <w:t>Servidores ocupantes de cargos em comissão de direção e assessoramento superior (Símbolos CCE-03 a CCE-07)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437" w:right="0" w:firstLine="0"/>
              <w:jc w:val="left"/>
            </w:pPr>
            <w:r>
              <w:rPr>
                <w:sz w:val="30"/>
              </w:rPr>
              <w:t>R$ 130,00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R$ 500,00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US$ 300,00</w:t>
            </w:r>
          </w:p>
        </w:tc>
      </w:tr>
      <w:tr w:rsidR="00285020">
        <w:trPr>
          <w:trHeight w:val="1945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5" w:right="5" w:firstLine="10"/>
            </w:pPr>
            <w:r>
              <w:rPr>
                <w:sz w:val="30"/>
              </w:rPr>
              <w:t>Servidores ocupantes de cargos em comissão de direção e assessoramento intermediário (Símbolos CCE-OI e CCE-02, e CCS-07 e CCS-08)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left="432" w:right="0" w:firstLine="0"/>
              <w:jc w:val="left"/>
            </w:pPr>
            <w:r>
              <w:rPr>
                <w:sz w:val="30"/>
              </w:rPr>
              <w:t>R$ 100,00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R$ 400,00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US$ 250,00</w:t>
            </w:r>
          </w:p>
        </w:tc>
      </w:tr>
      <w:tr w:rsidR="00285020">
        <w:trPr>
          <w:trHeight w:val="663"/>
        </w:trPr>
        <w:tc>
          <w:tcPr>
            <w:tcW w:w="3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tabs>
                <w:tab w:val="right" w:pos="3403"/>
              </w:tabs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Servidores</w:t>
            </w:r>
            <w:r>
              <w:rPr>
                <w:sz w:val="30"/>
              </w:rPr>
              <w:tab/>
              <w:t>Públicos</w:t>
            </w:r>
          </w:p>
          <w:p w:rsidR="00285020" w:rsidRDefault="005748EB">
            <w:pPr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Municipais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5" w:firstLine="0"/>
              <w:jc w:val="right"/>
            </w:pPr>
            <w:r>
              <w:rPr>
                <w:sz w:val="30"/>
              </w:rPr>
              <w:t>R$ 80,00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right="5" w:firstLine="0"/>
              <w:jc w:val="right"/>
            </w:pPr>
            <w:r>
              <w:rPr>
                <w:sz w:val="30"/>
              </w:rPr>
              <w:t>R$ 300,00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020" w:rsidRDefault="005748EB">
            <w:pPr>
              <w:spacing w:after="0" w:line="259" w:lineRule="auto"/>
              <w:ind w:firstLine="0"/>
              <w:jc w:val="right"/>
            </w:pPr>
            <w:r>
              <w:rPr>
                <w:sz w:val="30"/>
              </w:rPr>
              <w:t>US$ 250,00</w:t>
            </w:r>
          </w:p>
        </w:tc>
      </w:tr>
    </w:tbl>
    <w:p w:rsidR="00000000" w:rsidRDefault="005748EB"/>
    <w:sectPr w:rsidR="00000000">
      <w:headerReference w:type="even" r:id="rId19"/>
      <w:headerReference w:type="default" r:id="rId20"/>
      <w:headerReference w:type="first" r:id="rId21"/>
      <w:pgSz w:w="11904" w:h="16834"/>
      <w:pgMar w:top="2149" w:right="1474" w:bottom="880" w:left="1579" w:header="8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48EB">
      <w:pPr>
        <w:spacing w:after="0" w:line="240" w:lineRule="auto"/>
      </w:pPr>
      <w:r>
        <w:separator/>
      </w:r>
    </w:p>
  </w:endnote>
  <w:endnote w:type="continuationSeparator" w:id="0">
    <w:p w:rsidR="00000000" w:rsidRDefault="0057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48EB">
      <w:pPr>
        <w:spacing w:after="0" w:line="240" w:lineRule="auto"/>
      </w:pPr>
      <w:r>
        <w:separator/>
      </w:r>
    </w:p>
  </w:footnote>
  <w:footnote w:type="continuationSeparator" w:id="0">
    <w:p w:rsidR="00000000" w:rsidRDefault="0057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20" w:rsidRDefault="005748EB">
    <w:pPr>
      <w:spacing w:after="956" w:line="259" w:lineRule="auto"/>
      <w:ind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 w:rsidR="00285020" w:rsidRDefault="005748EB">
    <w:pPr>
      <w:spacing w:after="0" w:line="259" w:lineRule="auto"/>
      <w:ind w:right="67" w:firstLine="0"/>
      <w:jc w:val="center"/>
    </w:pPr>
    <w:r>
      <w:rPr>
        <w:sz w:val="26"/>
      </w:rPr>
      <w:t>ESTADO DE SERGIPE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20" w:rsidRDefault="005748EB">
    <w:pPr>
      <w:spacing w:after="956" w:line="259" w:lineRule="auto"/>
      <w:ind w:right="7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 w:rsidR="00285020" w:rsidRDefault="005748EB">
    <w:pPr>
      <w:spacing w:after="0" w:line="259" w:lineRule="auto"/>
      <w:ind w:right="67" w:firstLine="0"/>
      <w:jc w:val="center"/>
    </w:pPr>
    <w:r>
      <w:rPr>
        <w:sz w:val="26"/>
      </w:rPr>
      <w:t>ESTADO DE SERGIPE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20" w:rsidRDefault="005748EB">
    <w:pPr>
      <w:spacing w:after="0" w:line="259" w:lineRule="auto"/>
      <w:ind w:right="14" w:firstLine="0"/>
      <w:jc w:val="center"/>
    </w:pPr>
    <w:r>
      <w:rPr>
        <w:sz w:val="26"/>
      </w:rPr>
      <w:t>ESTADO DE SERGIPE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20"/>
    <w:rsid w:val="00285020"/>
    <w:rsid w:val="005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C469F3-4A9B-4A0F-8C6C-0053B66A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7" w:line="216" w:lineRule="auto"/>
      <w:ind w:right="10" w:firstLine="1411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173"/>
      <w:outlineLvl w:val="1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4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2025-04-10T15:02:00Z</dcterms:created>
  <dcterms:modified xsi:type="dcterms:W3CDTF">2025-04-10T15:02:00Z</dcterms:modified>
</cp:coreProperties>
</file>