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73" w:right="8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208</w:t>
      </w:r>
      <w:r>
        <w:rPr>
          <w:b/>
          <w:spacing w:val="-39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373" w:right="90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7" w:firstLine="750"/>
        <w:jc w:val="both"/>
      </w:pPr>
      <w:r>
        <w:rPr>
          <w:b/>
        </w:rPr>
        <w:t>ROBERTO CONCEIÇÃO ARAÚJO</w:t>
      </w:r>
      <w:r>
        <w:rPr/>
        <w:t>, CPF. (MF) 532.***.***-59, para exercer o Cargo em Comissão de ASSESSOR ADMINISTRATIVO, Símbolo CCS.05, da Fundação Municipal de Formação para o Trabalho, a partir de 31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2025-08-22T17:35:35Z</dcterms:created>
  <dcterms:modified xsi:type="dcterms:W3CDTF">2025-08-22T17:35:35Z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