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422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0613" cy="54692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613" cy="54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spacing w:line="264" w:lineRule="auto" w:before="37"/>
        <w:ind w:left="2720" w:right="2386" w:firstLine="846"/>
      </w:pPr>
      <w:r>
        <w:rPr/>
        <w:t>ESTADO DE SERGIPE PREFEITURA</w:t>
      </w:r>
      <w:r>
        <w:rPr>
          <w:spacing w:val="-11"/>
        </w:rPr>
        <w:t> </w:t>
      </w:r>
      <w:r>
        <w:rPr/>
        <w:t>MUNICIPAL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ARACAJU</w:t>
      </w:r>
    </w:p>
    <w:p>
      <w:pPr>
        <w:pStyle w:val="Title"/>
        <w:jc w:val="center"/>
      </w:pPr>
      <w:r>
        <w:rPr/>
        <w:t>FUNDAT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Fundação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Formação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o</w:t>
      </w:r>
      <w:r>
        <w:rPr>
          <w:spacing w:val="-2"/>
        </w:rPr>
        <w:t> Trabalho</w:t>
      </w:r>
    </w:p>
    <w:p>
      <w:pPr>
        <w:spacing w:line="240" w:lineRule="auto" w:before="31" w:after="0"/>
        <w:rPr>
          <w:sz w:val="20"/>
        </w:rPr>
      </w:pPr>
    </w:p>
    <w:tbl>
      <w:tblPr>
        <w:tblW w:w="0" w:type="auto"/>
        <w:jc w:val="left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6"/>
        <w:gridCol w:w="968"/>
        <w:gridCol w:w="860"/>
        <w:gridCol w:w="982"/>
        <w:gridCol w:w="890"/>
        <w:gridCol w:w="1062"/>
      </w:tblGrid>
      <w:tr>
        <w:trPr>
          <w:trHeight w:val="355" w:hRule="atLeast"/>
        </w:trPr>
        <w:tc>
          <w:tcPr>
            <w:tcW w:w="4096" w:type="dxa"/>
            <w:shd w:val="clear" w:color="auto" w:fill="BBBBBB"/>
          </w:tcPr>
          <w:p>
            <w:pPr>
              <w:pStyle w:val="TableParagraph"/>
              <w:spacing w:line="240" w:lineRule="auto" w:before="10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DENOMINAÇÃO</w:t>
            </w:r>
          </w:p>
        </w:tc>
        <w:tc>
          <w:tcPr>
            <w:tcW w:w="968" w:type="dxa"/>
            <w:shd w:val="clear" w:color="auto" w:fill="BBBBBB"/>
          </w:tcPr>
          <w:p>
            <w:pPr>
              <w:pStyle w:val="TableParagraph"/>
              <w:spacing w:line="240" w:lineRule="auto" w:before="105"/>
              <w:ind w:left="38"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SIMBOLO</w:t>
            </w:r>
          </w:p>
        </w:tc>
        <w:tc>
          <w:tcPr>
            <w:tcW w:w="860" w:type="dxa"/>
            <w:shd w:val="clear" w:color="auto" w:fill="BBBBBB"/>
          </w:tcPr>
          <w:p>
            <w:pPr>
              <w:pStyle w:val="TableParagraph"/>
              <w:spacing w:line="240" w:lineRule="auto" w:before="10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CARGOS</w:t>
            </w:r>
          </w:p>
        </w:tc>
        <w:tc>
          <w:tcPr>
            <w:tcW w:w="982" w:type="dxa"/>
            <w:shd w:val="clear" w:color="auto" w:fill="BBBBBB"/>
          </w:tcPr>
          <w:p>
            <w:pPr>
              <w:pStyle w:val="TableParagraph"/>
              <w:spacing w:line="240" w:lineRule="auto" w:before="105"/>
              <w:ind w:right="5"/>
              <w:rPr>
                <w:b/>
                <w:sz w:val="14"/>
              </w:rPr>
            </w:pPr>
            <w:r>
              <w:rPr>
                <w:b/>
                <w:color w:val="FF0000"/>
                <w:spacing w:val="-2"/>
                <w:sz w:val="14"/>
              </w:rPr>
              <w:t>OCUPADOS</w:t>
            </w:r>
          </w:p>
        </w:tc>
        <w:tc>
          <w:tcPr>
            <w:tcW w:w="890" w:type="dxa"/>
            <w:shd w:val="clear" w:color="auto" w:fill="BBBBBB"/>
          </w:tcPr>
          <w:p>
            <w:pPr>
              <w:pStyle w:val="TableParagraph"/>
              <w:spacing w:line="240" w:lineRule="auto" w:before="105"/>
              <w:ind w:left="38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VAGOS</w:t>
            </w:r>
          </w:p>
        </w:tc>
        <w:tc>
          <w:tcPr>
            <w:tcW w:w="1062" w:type="dxa"/>
            <w:shd w:val="clear" w:color="auto" w:fill="BBBBBB"/>
          </w:tcPr>
          <w:p>
            <w:pPr>
              <w:pStyle w:val="TableParagraph"/>
              <w:spacing w:line="240" w:lineRule="auto" w:before="105"/>
              <w:ind w:left="37"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VALOR</w:t>
            </w:r>
          </w:p>
        </w:tc>
      </w:tr>
      <w:tr>
        <w:trPr>
          <w:trHeight w:val="214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ind w:left="38"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SUBS.</w:t>
            </w: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ind w:left="37" w:right="2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16.964,10</w:t>
            </w: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Administrativo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2"/>
                <w:sz w:val="14"/>
              </w:rPr>
              <w:t> Financeiro</w:t>
            </w:r>
          </w:p>
        </w:tc>
        <w:tc>
          <w:tcPr>
            <w:tcW w:w="968" w:type="dxa"/>
            <w:vMerge w:val="restart"/>
            <w:shd w:val="clear" w:color="auto" w:fill="EEEEEE"/>
          </w:tcPr>
          <w:p>
            <w:pPr>
              <w:pStyle w:val="TableParagraph"/>
              <w:spacing w:line="240" w:lineRule="auto" w:before="126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5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spacing w:line="240" w:lineRule="auto" w:before="126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94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9.289,95</w:t>
            </w:r>
          </w:p>
        </w:tc>
      </w:tr>
      <w:tr>
        <w:trPr>
          <w:trHeight w:val="214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Diretora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Empreendedorismo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Cooperativismo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Diretor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Formação</w:t>
            </w:r>
            <w:r>
              <w:rPr>
                <w:spacing w:val="-2"/>
                <w:sz w:val="14"/>
              </w:rPr>
              <w:t> Profissional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4096" w:type="dxa"/>
          </w:tcPr>
          <w:p>
            <w:pPr>
              <w:pStyle w:val="TableParagraph"/>
              <w:spacing w:line="240" w:lineRule="auto" w:before="93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2"/>
                <w:sz w:val="14"/>
              </w:rPr>
              <w:t> Institucional</w:t>
            </w:r>
          </w:p>
        </w:tc>
        <w:tc>
          <w:tcPr>
            <w:tcW w:w="968" w:type="dxa"/>
            <w:vMerge w:val="restart"/>
            <w:shd w:val="clear" w:color="auto" w:fill="EEEEEE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6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5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CCE-</w:t>
            </w:r>
            <w:r>
              <w:rPr>
                <w:b/>
                <w:spacing w:val="-5"/>
                <w:sz w:val="14"/>
              </w:rPr>
              <w:t>03</w:t>
            </w:r>
          </w:p>
        </w:tc>
        <w:tc>
          <w:tcPr>
            <w:tcW w:w="860" w:type="dxa"/>
          </w:tcPr>
          <w:p>
            <w:pPr>
              <w:pStyle w:val="TableParagraph"/>
              <w:spacing w:line="240" w:lineRule="auto" w:before="93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spacing w:line="240" w:lineRule="auto" w:before="93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93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6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94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5.945,57</w:t>
            </w:r>
          </w:p>
        </w:tc>
      </w:tr>
      <w:tr>
        <w:trPr>
          <w:trHeight w:val="214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2"/>
                <w:sz w:val="14"/>
              </w:rPr>
              <w:t> Jurídica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Assessoria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2"/>
                <w:sz w:val="14"/>
              </w:rPr>
              <w:t>Comunicação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Gabinete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Executivo</w:t>
            </w:r>
          </w:p>
        </w:tc>
        <w:tc>
          <w:tcPr>
            <w:tcW w:w="968" w:type="dxa"/>
            <w:vMerge w:val="restart"/>
            <w:shd w:val="clear" w:color="auto" w:fill="EEEEEE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1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- </w:t>
            </w:r>
            <w:r>
              <w:rPr>
                <w:b/>
                <w:spacing w:val="-5"/>
                <w:sz w:val="14"/>
              </w:rPr>
              <w:t>01</w:t>
            </w: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94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3.805,16</w:t>
            </w:r>
          </w:p>
        </w:tc>
      </w:tr>
      <w:tr>
        <w:trPr>
          <w:trHeight w:val="283" w:hRule="atLeast"/>
        </w:trPr>
        <w:tc>
          <w:tcPr>
            <w:tcW w:w="4096" w:type="dxa"/>
          </w:tcPr>
          <w:p>
            <w:pPr>
              <w:pStyle w:val="TableParagraph"/>
              <w:spacing w:line="136" w:lineRule="exact" w:before="0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Central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Empreendedor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spacing w:line="240" w:lineRule="auto" w:before="67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spacing w:line="240" w:lineRule="auto" w:before="67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line="240" w:lineRule="auto" w:before="67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4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2"/>
                <w:sz w:val="14"/>
              </w:rPr>
              <w:t> Informação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Técnico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2"/>
                <w:sz w:val="14"/>
              </w:rPr>
              <w:t> Administrativo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spacing w:line="160" w:lineRule="exact" w:before="0"/>
              <w:ind w:left="38" w:right="1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08</w:t>
            </w: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spacing w:line="160" w:lineRule="exact" w:before="0"/>
              <w:ind w:left="37" w:right="12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3.503,33</w:t>
            </w:r>
          </w:p>
        </w:tc>
      </w:tr>
      <w:tr>
        <w:trPr>
          <w:trHeight w:val="214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2"/>
                <w:sz w:val="14"/>
              </w:rPr>
              <w:t>Técnico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ind w:left="38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2.782,49</w:t>
            </w: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Coordenador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ind w:left="38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07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13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2.782,49</w:t>
            </w: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5"/>
                <w:sz w:val="14"/>
              </w:rPr>
              <w:t>II</w:t>
            </w:r>
          </w:p>
        </w:tc>
        <w:tc>
          <w:tcPr>
            <w:tcW w:w="968" w:type="dxa"/>
            <w:vMerge w:val="restart"/>
            <w:shd w:val="clear" w:color="auto" w:fill="EEEEEE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25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06</w:t>
            </w: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 w:val="restart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40" w:lineRule="auto" w:before="0"/>
              <w:ind w:left="194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2.225,96</w:t>
            </w: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Presidente</w:t>
            </w:r>
          </w:p>
        </w:tc>
        <w:tc>
          <w:tcPr>
            <w:tcW w:w="968" w:type="dxa"/>
            <w:vMerge/>
            <w:tcBorders>
              <w:top w:val="nil"/>
            </w:tcBorders>
            <w:shd w:val="clear" w:color="auto" w:fill="EEEE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2"/>
                <w:sz w:val="14"/>
              </w:rPr>
              <w:t>Administrativo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ind w:left="38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1062" w:type="dxa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1.780,79</w:t>
            </w:r>
          </w:p>
        </w:tc>
      </w:tr>
      <w:tr>
        <w:trPr>
          <w:trHeight w:val="214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Imprensa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ind w:left="38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pacing w:val="-5"/>
                <w:sz w:val="14"/>
              </w:rPr>
              <w:t>05</w:t>
            </w: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0</w:t>
            </w:r>
          </w:p>
        </w:tc>
        <w:tc>
          <w:tcPr>
            <w:tcW w:w="1062" w:type="dxa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1.780,79</w:t>
            </w: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Diretor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ind w:left="38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11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1062" w:type="dxa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1.424,62</w:t>
            </w: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Assessor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ind w:left="38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1062" w:type="dxa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1.366,04</w:t>
            </w: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2"/>
                <w:sz w:val="14"/>
              </w:rPr>
              <w:t> Especial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ind w:left="38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0" w:type="dxa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rPr>
                <w:sz w:val="14"/>
              </w:rPr>
            </w:pPr>
            <w:r>
              <w:rPr>
                <w:color w:val="FF0000"/>
                <w:spacing w:val="-10"/>
                <w:sz w:val="14"/>
              </w:rPr>
              <w:t>0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1.366,04</w:t>
            </w:r>
          </w:p>
        </w:tc>
      </w:tr>
      <w:tr>
        <w:trPr>
          <w:trHeight w:val="213" w:hRule="atLeast"/>
        </w:trPr>
        <w:tc>
          <w:tcPr>
            <w:tcW w:w="4096" w:type="dxa"/>
          </w:tcPr>
          <w:p>
            <w:pPr>
              <w:pStyle w:val="TableParagraph"/>
              <w:ind w:left="30"/>
              <w:jc w:val="left"/>
              <w:rPr>
                <w:sz w:val="14"/>
              </w:rPr>
            </w:pPr>
            <w:r>
              <w:rPr>
                <w:sz w:val="14"/>
              </w:rPr>
              <w:t>Oficial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Gabinete</w:t>
            </w:r>
          </w:p>
        </w:tc>
        <w:tc>
          <w:tcPr>
            <w:tcW w:w="968" w:type="dxa"/>
            <w:shd w:val="clear" w:color="auto" w:fill="EEEEEE"/>
          </w:tcPr>
          <w:p>
            <w:pPr>
              <w:pStyle w:val="TableParagraph"/>
              <w:ind w:left="38"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CCS-</w:t>
            </w:r>
            <w:r>
              <w:rPr>
                <w:b/>
                <w:spacing w:val="-5"/>
                <w:sz w:val="14"/>
              </w:rPr>
              <w:t>04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82" w:type="dxa"/>
            <w:shd w:val="clear" w:color="auto" w:fill="EED9D8"/>
          </w:tcPr>
          <w:p>
            <w:pPr>
              <w:pStyle w:val="TableParagraph"/>
              <w:ind w:right="2"/>
              <w:rPr>
                <w:sz w:val="14"/>
              </w:rPr>
            </w:pPr>
            <w:r>
              <w:rPr>
                <w:color w:val="FF0000"/>
                <w:spacing w:val="-5"/>
                <w:sz w:val="14"/>
              </w:rPr>
              <w:t>12</w:t>
            </w:r>
          </w:p>
        </w:tc>
        <w:tc>
          <w:tcPr>
            <w:tcW w:w="890" w:type="dxa"/>
          </w:tcPr>
          <w:p>
            <w:pPr>
              <w:pStyle w:val="TableParagraph"/>
              <w:ind w:left="38" w:right="2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1062" w:type="dxa"/>
          </w:tcPr>
          <w:p>
            <w:pPr>
              <w:pStyle w:val="TableParagraph"/>
              <w:ind w:left="3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2"/>
                <w:sz w:val="14"/>
              </w:rPr>
              <w:t> 1.366,04</w:t>
            </w:r>
          </w:p>
        </w:tc>
      </w:tr>
      <w:tr>
        <w:trPr>
          <w:trHeight w:val="214" w:hRule="atLeast"/>
        </w:trPr>
        <w:tc>
          <w:tcPr>
            <w:tcW w:w="4096" w:type="dxa"/>
            <w:shd w:val="clear" w:color="auto" w:fill="BBBBBB"/>
          </w:tcPr>
          <w:p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</w:t>
            </w:r>
          </w:p>
        </w:tc>
        <w:tc>
          <w:tcPr>
            <w:tcW w:w="968" w:type="dxa"/>
            <w:tcBorders>
              <w:bottom w:val="single" w:sz="2" w:space="0" w:color="000000"/>
            </w:tcBorders>
            <w:shd w:val="clear" w:color="auto" w:fill="BBBBBB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</w:tc>
        <w:tc>
          <w:tcPr>
            <w:tcW w:w="860" w:type="dxa"/>
            <w:shd w:val="clear" w:color="auto" w:fill="BBBBBB"/>
          </w:tcPr>
          <w:p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98</w:t>
            </w:r>
          </w:p>
        </w:tc>
        <w:tc>
          <w:tcPr>
            <w:tcW w:w="982" w:type="dxa"/>
            <w:shd w:val="clear" w:color="auto" w:fill="BBBBBB"/>
          </w:tcPr>
          <w:p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color w:val="FF0000"/>
                <w:spacing w:val="-5"/>
                <w:sz w:val="14"/>
              </w:rPr>
              <w:t>77</w:t>
            </w:r>
          </w:p>
        </w:tc>
        <w:tc>
          <w:tcPr>
            <w:tcW w:w="890" w:type="dxa"/>
            <w:shd w:val="clear" w:color="auto" w:fill="BBBBBB"/>
          </w:tcPr>
          <w:p>
            <w:pPr>
              <w:pStyle w:val="TableParagraph"/>
              <w:ind w:left="38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1062" w:type="dxa"/>
            <w:shd w:val="clear" w:color="auto" w:fill="BBBBBB"/>
          </w:tcPr>
          <w:p>
            <w:pPr>
              <w:pStyle w:val="TableParagraph"/>
              <w:spacing w:line="240" w:lineRule="auto"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line="240" w:lineRule="auto" w:before="23"/>
        <w:rPr>
          <w:sz w:val="20"/>
        </w:rPr>
      </w:pPr>
    </w:p>
    <w:p>
      <w:pPr>
        <w:pStyle w:val="BodyText"/>
        <w:spacing w:line="136" w:lineRule="exact" w:before="1"/>
        <w:ind w:left="141"/>
      </w:pPr>
      <w:r>
        <w:rPr/>
        <w:t>Anexos</w:t>
      </w:r>
      <w:r>
        <w:rPr>
          <w:spacing w:val="-2"/>
        </w:rPr>
        <w:t> </w:t>
      </w:r>
      <w:r>
        <w:rPr/>
        <w:t>I,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III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4368/2013</w:t>
      </w:r>
      <w:r>
        <w:rPr>
          <w:spacing w:val="-1"/>
        </w:rPr>
        <w:t> </w:t>
      </w:r>
      <w:r>
        <w:rPr/>
        <w:t>(Lei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dispõe</w:t>
      </w:r>
      <w:r>
        <w:rPr>
          <w:spacing w:val="-4"/>
        </w:rPr>
        <w:t> </w:t>
      </w:r>
      <w:r>
        <w:rPr/>
        <w:t>sobre</w:t>
      </w:r>
      <w:r>
        <w:rPr>
          <w:spacing w:val="-3"/>
        </w:rPr>
        <w:t> </w:t>
      </w:r>
      <w:r>
        <w:rPr/>
        <w:t>nova organização</w:t>
      </w:r>
      <w:r>
        <w:rPr>
          <w:spacing w:val="-3"/>
        </w:rPr>
        <w:t> </w:t>
      </w:r>
      <w:r>
        <w:rPr/>
        <w:t>básica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FUNDAT);</w:t>
      </w:r>
    </w:p>
    <w:p>
      <w:pPr>
        <w:pStyle w:val="BodyText"/>
        <w:spacing w:line="230" w:lineRule="auto" w:before="2"/>
        <w:ind w:left="141" w:right="71"/>
      </w:pPr>
      <w:r>
        <w:rPr/>
        <w:t>Anexo</w:t>
      </w:r>
      <w:r>
        <w:rPr>
          <w:spacing w:val="-2"/>
        </w:rPr>
        <w:t> </w:t>
      </w:r>
      <w:r>
        <w:rPr/>
        <w:t>único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Resolução</w:t>
      </w:r>
      <w:r>
        <w:rPr>
          <w:spacing w:val="-2"/>
        </w:rPr>
        <w:t> </w:t>
      </w:r>
      <w:r>
        <w:rPr/>
        <w:t>nº</w:t>
      </w:r>
      <w:r>
        <w:rPr>
          <w:spacing w:val="-3"/>
        </w:rPr>
        <w:t> </w:t>
      </w:r>
      <w:r>
        <w:rPr/>
        <w:t>01/2013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CONAD</w:t>
      </w:r>
      <w:r>
        <w:rPr>
          <w:spacing w:val="-3"/>
        </w:rPr>
        <w:t> </w:t>
      </w:r>
      <w:r>
        <w:rPr/>
        <w:t>(Transformação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Cargos</w:t>
      </w:r>
      <w:r>
        <w:rPr>
          <w:spacing w:val="-3"/>
        </w:rPr>
        <w:t> </w:t>
      </w:r>
      <w:r>
        <w:rPr/>
        <w:t>em</w:t>
      </w:r>
      <w:r>
        <w:rPr>
          <w:spacing w:val="-4"/>
        </w:rPr>
        <w:t> </w:t>
      </w:r>
      <w:r>
        <w:rPr/>
        <w:t>Comissão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âmbito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FUNDAT);</w:t>
      </w:r>
      <w:r>
        <w:rPr>
          <w:spacing w:val="-2"/>
        </w:rPr>
        <w:t> </w:t>
      </w:r>
      <w:r>
        <w:rPr/>
        <w:t>Artigo</w:t>
      </w:r>
      <w:r>
        <w:rPr>
          <w:spacing w:val="-2"/>
        </w:rPr>
        <w:t> </w:t>
      </w:r>
      <w:r>
        <w:rPr/>
        <w:t>2º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Lei</w:t>
      </w:r>
      <w:r>
        <w:rPr>
          <w:spacing w:val="-2"/>
        </w:rPr>
        <w:t> </w:t>
      </w:r>
      <w:r>
        <w:rPr/>
        <w:t>4.568/2014</w:t>
      </w:r>
      <w:r>
        <w:rPr>
          <w:spacing w:val="-2"/>
        </w:rPr>
        <w:t> </w:t>
      </w:r>
      <w:r>
        <w:rPr/>
        <w:t>(Lei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cria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CATE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dispõe</w:t>
      </w:r>
      <w:r>
        <w:rPr>
          <w:spacing w:val="40"/>
        </w:rPr>
        <w:t> </w:t>
      </w:r>
      <w:r>
        <w:rPr/>
        <w:t>sobre a nova organização básica da FUNDAT);</w:t>
      </w:r>
    </w:p>
    <w:p>
      <w:pPr>
        <w:pStyle w:val="BodyText"/>
        <w:spacing w:line="232" w:lineRule="auto"/>
        <w:ind w:left="141" w:right="2907"/>
      </w:pPr>
      <w:r>
        <w:rPr/>
        <w:t>Anexo</w:t>
      </w:r>
      <w:r>
        <w:rPr>
          <w:spacing w:val="-3"/>
        </w:rPr>
        <w:t> </w:t>
      </w:r>
      <w:r>
        <w:rPr/>
        <w:t>único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Resolução</w:t>
      </w:r>
      <w:r>
        <w:rPr>
          <w:spacing w:val="-3"/>
        </w:rPr>
        <w:t> </w:t>
      </w:r>
      <w:r>
        <w:rPr/>
        <w:t>nº</w:t>
      </w:r>
      <w:r>
        <w:rPr>
          <w:spacing w:val="-4"/>
        </w:rPr>
        <w:t> </w:t>
      </w:r>
      <w:r>
        <w:rPr/>
        <w:t>03/2015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CONAD</w:t>
      </w:r>
      <w:r>
        <w:rPr>
          <w:spacing w:val="-4"/>
        </w:rPr>
        <w:t> </w:t>
      </w:r>
      <w:r>
        <w:rPr/>
        <w:t>(Transforma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altera</w:t>
      </w:r>
      <w:r>
        <w:rPr>
          <w:spacing w:val="-3"/>
        </w:rPr>
        <w:t> </w:t>
      </w:r>
      <w:r>
        <w:rPr/>
        <w:t>Cargos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Comissão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âmbito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FUNDAT);</w:t>
      </w:r>
      <w:r>
        <w:rPr>
          <w:spacing w:val="40"/>
        </w:rPr>
        <w:t> </w:t>
      </w:r>
      <w:r>
        <w:rPr/>
        <w:t>Data de Elaboração 28 de NOVEMBRO de 2023.</w:t>
      </w: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0"/>
        <w:rPr>
          <w:b/>
          <w:i/>
          <w:sz w:val="12"/>
        </w:rPr>
      </w:pPr>
    </w:p>
    <w:p>
      <w:pPr>
        <w:spacing w:line="240" w:lineRule="auto" w:before="73"/>
        <w:rPr>
          <w:b/>
          <w:i/>
          <w:sz w:val="12"/>
        </w:rPr>
      </w:pPr>
    </w:p>
    <w:p>
      <w:pPr>
        <w:spacing w:line="266" w:lineRule="auto" w:before="0"/>
        <w:ind w:left="1396" w:right="1043" w:hanging="216"/>
        <w:jc w:val="left"/>
        <w:rPr>
          <w:sz w:val="24"/>
        </w:rPr>
      </w:pPr>
      <w:r>
        <w:rPr>
          <w:sz w:val="20"/>
        </w:rPr>
        <w:t>Rua</w:t>
      </w:r>
      <w:r>
        <w:rPr>
          <w:spacing w:val="-3"/>
          <w:sz w:val="20"/>
        </w:rPr>
        <w:t> </w:t>
      </w:r>
      <w:r>
        <w:rPr>
          <w:sz w:val="20"/>
        </w:rPr>
        <w:t>João</w:t>
      </w:r>
      <w:r>
        <w:rPr>
          <w:spacing w:val="-4"/>
          <w:sz w:val="20"/>
        </w:rPr>
        <w:t> </w:t>
      </w:r>
      <w:r>
        <w:rPr>
          <w:sz w:val="20"/>
        </w:rPr>
        <w:t>Pessoa,</w:t>
      </w:r>
      <w:r>
        <w:rPr>
          <w:spacing w:val="-4"/>
          <w:sz w:val="20"/>
        </w:rPr>
        <w:t> </w:t>
      </w:r>
      <w:r>
        <w:rPr>
          <w:sz w:val="20"/>
        </w:rPr>
        <w:t>127</w:t>
      </w:r>
      <w:r>
        <w:rPr>
          <w:spacing w:val="-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Centro</w:t>
      </w:r>
      <w:r>
        <w:rPr>
          <w:spacing w:val="-4"/>
          <w:sz w:val="20"/>
        </w:rPr>
        <w:t> </w:t>
      </w:r>
      <w:r>
        <w:rPr>
          <w:sz w:val="20"/>
        </w:rPr>
        <w:t>Aracaju/Sergipe</w:t>
      </w:r>
      <w:r>
        <w:rPr>
          <w:spacing w:val="-3"/>
          <w:sz w:val="20"/>
        </w:rPr>
        <w:t> </w:t>
      </w:r>
      <w:r>
        <w:rPr>
          <w:sz w:val="20"/>
        </w:rPr>
        <w:t>CEP:</w:t>
      </w:r>
      <w:r>
        <w:rPr>
          <w:spacing w:val="-4"/>
          <w:sz w:val="20"/>
        </w:rPr>
        <w:t> </w:t>
      </w:r>
      <w:r>
        <w:rPr>
          <w:sz w:val="20"/>
        </w:rPr>
        <w:t>49010-130</w:t>
      </w:r>
      <w:r>
        <w:rPr>
          <w:spacing w:val="-4"/>
          <w:sz w:val="20"/>
        </w:rPr>
        <w:t> </w:t>
      </w:r>
      <w:r>
        <w:rPr>
          <w:sz w:val="20"/>
        </w:rPr>
        <w:t>TEL.</w:t>
      </w:r>
      <w:r>
        <w:rPr>
          <w:spacing w:val="-4"/>
          <w:sz w:val="20"/>
        </w:rPr>
        <w:t> </w:t>
      </w:r>
      <w:r>
        <w:rPr>
          <w:sz w:val="20"/>
        </w:rPr>
        <w:t>(79)</w:t>
      </w:r>
      <w:r>
        <w:rPr>
          <w:spacing w:val="-5"/>
          <w:sz w:val="20"/>
        </w:rPr>
        <w:t> </w:t>
      </w:r>
      <w:r>
        <w:rPr>
          <w:sz w:val="20"/>
        </w:rPr>
        <w:t>3179- 1331 E-mail: </w:t>
      </w:r>
      <w:hyperlink r:id="rId6">
        <w:r>
          <w:rPr>
            <w:color w:val="0000FF"/>
            <w:sz w:val="24"/>
          </w:rPr>
          <w:t>trabalho@aracaju.se.gov.br</w:t>
        </w:r>
      </w:hyperlink>
      <w:r>
        <w:rPr>
          <w:color w:val="0000FF"/>
          <w:sz w:val="24"/>
        </w:rPr>
        <w:t> </w:t>
      </w:r>
      <w:r>
        <w:rPr>
          <w:sz w:val="20"/>
        </w:rPr>
        <w:t>site: </w:t>
      </w:r>
      <w:hyperlink r:id="rId7">
        <w:r>
          <w:rPr>
            <w:color w:val="0000FF"/>
            <w:spacing w:val="-2"/>
            <w:sz w:val="24"/>
          </w:rPr>
          <w:t>www.aracaju.se.gov.br/fundat</w:t>
        </w:r>
      </w:hyperlink>
    </w:p>
    <w:sectPr>
      <w:type w:val="continuous"/>
      <w:pgSz w:w="11910" w:h="16840"/>
      <w:pgMar w:top="1680" w:bottom="280" w:left="15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i/>
      <w:iCs/>
      <w:sz w:val="12"/>
      <w:szCs w:val="1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33" w:line="161" w:lineRule="exact"/>
      <w:ind w:left="40"/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trabalho@aracaju.se.gov.br" TargetMode="External"/><Relationship Id="rId7" Type="http://schemas.openxmlformats.org/officeDocument/2006/relationships/hyperlink" Target="http://www.aracaju.se.gov.br/fund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2024-03-01T14:30:45Z</dcterms:created>
  <dcterms:modified xsi:type="dcterms:W3CDTF">2024-03-01T14:30:45Z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2024-03-01T00:00:00Z</vt:filetime>
  </property>
</Properties>
</file>