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0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6543" cy="561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6" w:lineRule="auto" w:before="33"/>
        <w:ind w:left="2713" w:right="2375" w:firstLine="844"/>
      </w:pPr>
      <w:r>
        <w:rPr/>
        <w:t>ESTADO DE SERGIPE PREFEITURA</w:t>
      </w:r>
      <w:r>
        <w:rPr>
          <w:spacing w:val="-13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ARACAJU</w:t>
      </w:r>
    </w:p>
    <w:p>
      <w:pPr>
        <w:pStyle w:val="Title"/>
        <w:jc w:val="center"/>
      </w:pPr>
      <w:r>
        <w:rPr/>
        <w:t>FUNDAT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Fundação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Trabalho</w:t>
      </w:r>
    </w:p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965"/>
        <w:gridCol w:w="859"/>
        <w:gridCol w:w="979"/>
        <w:gridCol w:w="885"/>
        <w:gridCol w:w="1063"/>
      </w:tblGrid>
      <w:tr>
        <w:trPr>
          <w:trHeight w:val="375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103"/>
              <w:ind w:left="1479" w:right="14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DENOMINAÇÃO</w:t>
            </w:r>
          </w:p>
        </w:tc>
        <w:tc>
          <w:tcPr>
            <w:tcW w:w="965" w:type="dxa"/>
            <w:shd w:val="clear" w:color="auto" w:fill="BCBCBC"/>
          </w:tcPr>
          <w:p>
            <w:pPr>
              <w:pStyle w:val="TableParagraph"/>
              <w:spacing w:before="103"/>
              <w:ind w:left="131" w:right="1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SIMBOLO</w:t>
            </w: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103"/>
              <w:ind w:left="113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CARGOS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103"/>
              <w:ind w:left="83" w:right="66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OCUPADOS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103"/>
              <w:ind w:left="177" w:right="15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VAGOS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103"/>
              <w:ind w:left="137"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29" w:right="1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SUBS.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15.783,35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Formação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Profissional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8.641,82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Empreen.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Cooperativismo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Diretora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Financeiro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087" w:type="dxa"/>
          </w:tcPr>
          <w:p>
            <w:pPr>
              <w:pStyle w:val="TableParagraph"/>
              <w:spacing w:before="9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Planejamento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Desenvolvimento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Institucional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CCE-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93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9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5.530,76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Procuradoria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4087" w:type="dxa"/>
          </w:tcPr>
          <w:p>
            <w:pPr>
              <w:pStyle w:val="TableParagraph"/>
              <w:spacing w:line="146" w:lineRule="exact" w:before="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Apoio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Trabalhador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ao</w:t>
            </w:r>
          </w:p>
          <w:p>
            <w:pPr>
              <w:pStyle w:val="TableParagraph"/>
              <w:spacing w:line="138" w:lineRule="exact" w:before="0"/>
              <w:ind w:left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Empreendedor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CCE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859" w:type="dx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67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67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3.539,69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Coordenador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Executivo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Informação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Gabinete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spacing w:before="3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3.258,93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Chefe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ASCOM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Técnico-Administrativo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Coordenador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59" w:type="dxa"/>
          </w:tcPr>
          <w:p>
            <w:pPr>
              <w:pStyle w:val="TableParagraph"/>
              <w:ind w:left="112" w:right="98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81" w:right="66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4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2.588,36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Presidente</w:t>
            </w:r>
          </w:p>
        </w:tc>
        <w:tc>
          <w:tcPr>
            <w:tcW w:w="965" w:type="dxa"/>
            <w:vMerge w:val="restart"/>
            <w:shd w:val="clear" w:color="auto" w:fill="EFEFEF"/>
          </w:tcPr>
          <w:p>
            <w:pPr>
              <w:pStyle w:val="TableParagraph"/>
              <w:spacing w:before="11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Tecnologia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Informação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EFE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2.070,66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Administrativo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859" w:type="dxa"/>
          </w:tcPr>
          <w:p>
            <w:pPr>
              <w:pStyle w:val="TableParagraph"/>
              <w:ind w:left="112" w:right="98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81" w:right="66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15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Assessor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Imprensa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 05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1.656,55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Diretor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859" w:type="dxa"/>
          </w:tcPr>
          <w:p>
            <w:pPr>
              <w:pStyle w:val="TableParagraph"/>
              <w:ind w:left="112" w:right="98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81" w:right="66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18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1.325,23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Assessor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Oficial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Gabinete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59" w:type="dxa"/>
          </w:tcPr>
          <w:p>
            <w:pPr>
              <w:pStyle w:val="TableParagraph"/>
              <w:ind w:left="112" w:right="98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ind w:left="81" w:right="66"/>
              <w:rPr>
                <w:sz w:val="14"/>
              </w:rPr>
            </w:pPr>
            <w:r>
              <w:rPr>
                <w:color w:val="FF0000"/>
                <w:spacing w:val="-5"/>
                <w:sz w:val="14"/>
              </w:rPr>
              <w:t>12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1.272,60</w:t>
            </w:r>
          </w:p>
        </w:tc>
      </w:tr>
      <w:tr>
        <w:trPr>
          <w:trHeight w:val="236" w:hRule="atLeast"/>
        </w:trPr>
        <w:tc>
          <w:tcPr>
            <w:tcW w:w="4087" w:type="dxa"/>
          </w:tcPr>
          <w:p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Assistente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Serviço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Especial</w:t>
            </w:r>
          </w:p>
        </w:tc>
        <w:tc>
          <w:tcPr>
            <w:tcW w:w="965" w:type="dxa"/>
            <w:shd w:val="clear" w:color="auto" w:fill="EFEFEF"/>
          </w:tcPr>
          <w:p>
            <w:pPr>
              <w:pStyle w:val="TableParagraph"/>
              <w:ind w:left="131" w:right="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CCS-</w:t>
            </w: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79" w:type="dxa"/>
            <w:shd w:val="clear" w:color="auto" w:fill="EFDBD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63" w:type="dxa"/>
          </w:tcPr>
          <w:p>
            <w:pPr>
              <w:pStyle w:val="TableParagraph"/>
              <w:ind w:left="138" w:right="1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1.272,60</w:t>
            </w:r>
          </w:p>
        </w:tc>
      </w:tr>
      <w:tr>
        <w:trPr>
          <w:trHeight w:val="234" w:hRule="atLeast"/>
        </w:trPr>
        <w:tc>
          <w:tcPr>
            <w:tcW w:w="4087" w:type="dxa"/>
            <w:shd w:val="clear" w:color="auto" w:fill="BCBCBC"/>
          </w:tcPr>
          <w:p>
            <w:pPr>
              <w:pStyle w:val="TableParagraph"/>
              <w:spacing w:before="31"/>
              <w:ind w:left="1479" w:right="146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965" w:type="dxa"/>
            <w:tcBorders>
              <w:bottom w:val="single" w:sz="2" w:space="0" w:color="000000"/>
            </w:tcBorders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9" w:type="dxa"/>
            <w:shd w:val="clear" w:color="auto" w:fill="BCBCBC"/>
          </w:tcPr>
          <w:p>
            <w:pPr>
              <w:pStyle w:val="TableParagraph"/>
              <w:spacing w:before="31"/>
              <w:ind w:left="112" w:right="9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98</w:t>
            </w:r>
          </w:p>
        </w:tc>
        <w:tc>
          <w:tcPr>
            <w:tcW w:w="979" w:type="dxa"/>
            <w:shd w:val="clear" w:color="auto" w:fill="BCBCBC"/>
          </w:tcPr>
          <w:p>
            <w:pPr>
              <w:pStyle w:val="TableParagraph"/>
              <w:spacing w:before="31"/>
              <w:ind w:left="81" w:right="66"/>
              <w:rPr>
                <w:b/>
                <w:sz w:val="14"/>
              </w:rPr>
            </w:pPr>
            <w:r>
              <w:rPr>
                <w:b/>
                <w:color w:val="FF0000"/>
                <w:spacing w:val="-5"/>
                <w:sz w:val="14"/>
              </w:rPr>
              <w:t>88</w:t>
            </w:r>
          </w:p>
        </w:tc>
        <w:tc>
          <w:tcPr>
            <w:tcW w:w="885" w:type="dxa"/>
            <w:shd w:val="clear" w:color="auto" w:fill="BCBCBC"/>
          </w:tcPr>
          <w:p>
            <w:pPr>
              <w:pStyle w:val="TableParagraph"/>
              <w:spacing w:before="31"/>
              <w:ind w:left="177" w:right="159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063" w:type="dxa"/>
            <w:shd w:val="clear" w:color="auto" w:fill="BCBCBC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line="240" w:lineRule="auto" w:before="3"/>
        <w:rPr>
          <w:sz w:val="21"/>
        </w:rPr>
      </w:pPr>
    </w:p>
    <w:p>
      <w:pPr>
        <w:pStyle w:val="BodyText"/>
        <w:spacing w:line="136" w:lineRule="exact" w:before="1"/>
        <w:ind w:left="140"/>
      </w:pPr>
      <w:r>
        <w:rPr/>
        <w:t>Anexos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e III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4368/2013 (Lei que dispõe</w:t>
      </w:r>
      <w:r>
        <w:rPr>
          <w:spacing w:val="-2"/>
        </w:rPr>
        <w:t> </w:t>
      </w:r>
      <w:r>
        <w:rPr/>
        <w:t>sobre nova organização básica da </w:t>
      </w:r>
      <w:r>
        <w:rPr>
          <w:spacing w:val="-2"/>
        </w:rPr>
        <w:t>FUNDAT);</w:t>
      </w:r>
    </w:p>
    <w:p>
      <w:pPr>
        <w:pStyle w:val="BodyText"/>
        <w:spacing w:line="232" w:lineRule="auto" w:before="1"/>
        <w:ind w:left="140" w:right="19"/>
      </w:pPr>
      <w:r>
        <w:rPr/>
        <w:t>Anexo</w:t>
      </w:r>
      <w:r>
        <w:rPr>
          <w:spacing w:val="-1"/>
        </w:rPr>
        <w:t> </w:t>
      </w:r>
      <w:r>
        <w:rPr/>
        <w:t>único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01/2013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CONAD</w:t>
      </w:r>
      <w:r>
        <w:rPr>
          <w:spacing w:val="-1"/>
        </w:rPr>
        <w:t> </w:t>
      </w:r>
      <w:r>
        <w:rPr/>
        <w:t>(Transformação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FUNDAT); Artigo</w:t>
      </w:r>
      <w:r>
        <w:rPr>
          <w:spacing w:val="-2"/>
        </w:rPr>
        <w:t> </w:t>
      </w:r>
      <w:r>
        <w:rPr/>
        <w:t>2º 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4.568/2014</w:t>
      </w:r>
      <w:r>
        <w:rPr>
          <w:spacing w:val="-1"/>
        </w:rPr>
        <w:t> </w:t>
      </w:r>
      <w:r>
        <w:rPr/>
        <w:t>(Lei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cria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dispõe</w:t>
      </w:r>
      <w:r>
        <w:rPr>
          <w:spacing w:val="40"/>
        </w:rPr>
        <w:t> </w:t>
      </w:r>
      <w:r>
        <w:rPr/>
        <w:t>sobre a nova organização básica da FUNDAT);</w:t>
      </w:r>
    </w:p>
    <w:p>
      <w:pPr>
        <w:pStyle w:val="BodyText"/>
        <w:spacing w:line="232" w:lineRule="auto" w:before="1"/>
        <w:ind w:left="140" w:right="2872"/>
      </w:pP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03/2015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CONAD</w:t>
      </w:r>
      <w:r>
        <w:rPr>
          <w:spacing w:val="-2"/>
        </w:rPr>
        <w:t> </w:t>
      </w:r>
      <w:r>
        <w:rPr/>
        <w:t>(Transforma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altera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FUNDAT);</w:t>
      </w:r>
      <w:r>
        <w:rPr>
          <w:spacing w:val="40"/>
        </w:rPr>
        <w:t> </w:t>
      </w:r>
      <w:r>
        <w:rPr/>
        <w:t>Data de Elaboração 05 de Dezembro de 2022.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0"/>
        </w:rPr>
      </w:pPr>
    </w:p>
    <w:p>
      <w:pPr>
        <w:spacing w:line="256" w:lineRule="auto" w:before="1"/>
        <w:ind w:left="1390" w:right="959" w:hanging="236"/>
        <w:jc w:val="left"/>
        <w:rPr>
          <w:sz w:val="24"/>
        </w:rPr>
      </w:pPr>
      <w:r>
        <w:rPr>
          <w:sz w:val="20"/>
        </w:rPr>
        <w:t>Rua</w:t>
      </w:r>
      <w:r>
        <w:rPr>
          <w:spacing w:val="-1"/>
          <w:sz w:val="20"/>
        </w:rPr>
        <w:t> </w:t>
      </w:r>
      <w:r>
        <w:rPr>
          <w:sz w:val="20"/>
        </w:rPr>
        <w:t>João</w:t>
      </w:r>
      <w:r>
        <w:rPr>
          <w:spacing w:val="-1"/>
          <w:sz w:val="20"/>
        </w:rPr>
        <w:t> </w:t>
      </w:r>
      <w:r>
        <w:rPr>
          <w:sz w:val="20"/>
        </w:rPr>
        <w:t>Pessoa,</w:t>
      </w:r>
      <w:r>
        <w:rPr>
          <w:spacing w:val="-1"/>
          <w:sz w:val="20"/>
        </w:rPr>
        <w:t> </w:t>
      </w:r>
      <w:r>
        <w:rPr>
          <w:sz w:val="20"/>
        </w:rPr>
        <w:t>127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Aracaju/Sergipe</w:t>
      </w:r>
      <w:r>
        <w:rPr>
          <w:spacing w:val="-1"/>
          <w:sz w:val="20"/>
        </w:rPr>
        <w:t> </w:t>
      </w:r>
      <w:r>
        <w:rPr>
          <w:sz w:val="20"/>
        </w:rPr>
        <w:t>CEP:</w:t>
      </w:r>
      <w:r>
        <w:rPr>
          <w:spacing w:val="-3"/>
          <w:sz w:val="20"/>
        </w:rPr>
        <w:t> </w:t>
      </w:r>
      <w:r>
        <w:rPr>
          <w:sz w:val="20"/>
        </w:rPr>
        <w:t>49010-130</w:t>
      </w:r>
      <w:r>
        <w:rPr>
          <w:spacing w:val="-1"/>
          <w:sz w:val="20"/>
        </w:rPr>
        <w:t> </w:t>
      </w:r>
      <w:r>
        <w:rPr>
          <w:sz w:val="20"/>
        </w:rPr>
        <w:t>TEL.</w:t>
      </w:r>
      <w:r>
        <w:rPr>
          <w:spacing w:val="-1"/>
          <w:sz w:val="20"/>
        </w:rPr>
        <w:t> </w:t>
      </w:r>
      <w:r>
        <w:rPr>
          <w:sz w:val="20"/>
        </w:rPr>
        <w:t>(79)</w:t>
      </w:r>
      <w:r>
        <w:rPr>
          <w:spacing w:val="-1"/>
          <w:sz w:val="20"/>
        </w:rPr>
        <w:t> </w:t>
      </w:r>
      <w:r>
        <w:rPr>
          <w:sz w:val="20"/>
        </w:rPr>
        <w:t>3179-1331 E-mail:</w:t>
      </w:r>
      <w:r>
        <w:rPr>
          <w:spacing w:val="-4"/>
          <w:sz w:val="20"/>
        </w:rPr>
        <w:t> </w:t>
      </w:r>
      <w:hyperlink r:id="rId6">
        <w:r>
          <w:rPr>
            <w:color w:val="0000FF"/>
            <w:sz w:val="24"/>
          </w:rPr>
          <w:t>trabalho@aracaju.se.gov.br</w:t>
        </w:r>
      </w:hyperlink>
      <w:r>
        <w:rPr>
          <w:color w:val="0000FF"/>
          <w:spacing w:val="50"/>
          <w:w w:val="150"/>
          <w:sz w:val="24"/>
        </w:rPr>
        <w:t> </w:t>
      </w:r>
      <w:r>
        <w:rPr>
          <w:sz w:val="20"/>
        </w:rPr>
        <w:t>site:</w:t>
      </w:r>
      <w:r>
        <w:rPr>
          <w:spacing w:val="-3"/>
          <w:sz w:val="20"/>
        </w:rPr>
        <w:t> </w:t>
      </w:r>
      <w:hyperlink r:id="rId7">
        <w:r>
          <w:rPr>
            <w:color w:val="0000FF"/>
            <w:spacing w:val="-2"/>
            <w:sz w:val="24"/>
          </w:rPr>
          <w:t>www.aracaju.se.gov.br/fundat</w:t>
        </w:r>
      </w:hyperlink>
    </w:p>
    <w:sectPr>
      <w:type w:val="continuous"/>
      <w:pgSz w:w="11910" w:h="16840"/>
      <w:pgMar w:top="168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006" w:right="2016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rsantos</dc:creator>
  <dc:title>Quantitativo-de-cargos-mai a dez-2022.xlsx</dc:title>
  <dcterms:created xsi:type="dcterms:W3CDTF">2023-10-02T14:47:52Z</dcterms:created>
  <dcterms:modified xsi:type="dcterms:W3CDTF">2023-10-02T14:47:52Z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2023-10-02T00:00:00Z</vt:filetime>
  </property>
  <property fmtid="{D5CDD505-2E9C-101B-9397-08002B2CF9AE}" pid="4" name="Producer">
    <vt:lpwstr>Microsoft: Print To PDF</vt:lpwstr>
  </property>
</Properties>
</file>